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8C703A" w:rsidRPr="007D476A" w:rsidRDefault="008C703A" w:rsidP="00E64931">
      <w:pPr>
        <w:pStyle w:val="NormalnyWeb"/>
        <w:spacing w:before="0" w:beforeAutospacing="0" w:after="0" w:afterAutospacing="0" w:line="276" w:lineRule="auto"/>
        <w:rPr>
          <w:b/>
        </w:rPr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  <w:r w:rsidR="00BE7163">
        <w:rPr>
          <w:rStyle w:val="Pogrubienie"/>
        </w:rPr>
        <w:t xml:space="preserve"> „</w:t>
      </w:r>
      <w:r w:rsidR="00D61070">
        <w:rPr>
          <w:rStyle w:val="Pogrubienie"/>
        </w:rPr>
        <w:t>Kolory Miasta</w:t>
      </w:r>
      <w:r w:rsidR="00BE7163">
        <w:rPr>
          <w:rStyle w:val="Pogrubienie"/>
        </w:rPr>
        <w:t>: Dodruk 2021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br/>
        <w:t>Opis Przedmiotu zamówienia: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 xml:space="preserve">Nakład: </w:t>
      </w:r>
      <w:r w:rsidRPr="00460338">
        <w:rPr>
          <w:rFonts w:ascii="Segoe UI" w:hAnsi="Segoe UI" w:cs="Segoe UI"/>
          <w:b/>
          <w:color w:val="2D2D2D"/>
          <w:sz w:val="21"/>
          <w:szCs w:val="21"/>
        </w:rPr>
        <w:t>300 szt.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Format po obcięciu 170 x 230mm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Papier  środek 115 g kreda mat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Liczba stron środka 452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Druk dwustronny CMYK (4+4)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Zdjęcia w tekście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  <w:u w:val="single"/>
        </w:rPr>
      </w:pPr>
      <w:r w:rsidRPr="00460338">
        <w:rPr>
          <w:rFonts w:ascii="Segoe UI" w:hAnsi="Segoe UI" w:cs="Segoe UI"/>
          <w:color w:val="2D2D2D"/>
          <w:sz w:val="21"/>
          <w:szCs w:val="21"/>
          <w:u w:val="single"/>
        </w:rPr>
        <w:t>Oprawa: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Oprawa klejona PUR (klej poliuretanowy), ze skrzydełkami o szerokości 2/3 okładki 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Dadruk jednostronny CMYK (4+0)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Karton 300 g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Uszlachetnienie okładki: folia mat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>Dokładny wymiar skrzydełek okładki oraz grubość grzbietu książki będzie uzgadniany z drukarnią w końcowym etapie prac.</w:t>
      </w: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lastRenderedPageBreak/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D61070">
        <w:rPr>
          <w:b/>
          <w:bCs/>
        </w:rPr>
        <w:t xml:space="preserve">kalendarzowych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A4538A" w:rsidRPr="007D476A" w:rsidRDefault="001909E7" w:rsidP="00BE7163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5A" w:rsidRDefault="00A9295A">
      <w:r>
        <w:separator/>
      </w:r>
    </w:p>
  </w:endnote>
  <w:endnote w:type="continuationSeparator" w:id="0">
    <w:p w:rsidR="00A9295A" w:rsidRDefault="00A9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FD79D7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FD79D7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A92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5A" w:rsidRDefault="00A9295A">
      <w:r>
        <w:separator/>
      </w:r>
    </w:p>
  </w:footnote>
  <w:footnote w:type="continuationSeparator" w:id="0">
    <w:p w:rsidR="00A9295A" w:rsidRDefault="00A92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0912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C6982"/>
    <w:rsid w:val="005D03FE"/>
    <w:rsid w:val="005D0C47"/>
    <w:rsid w:val="005F6149"/>
    <w:rsid w:val="00610596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34545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C7F5A"/>
    <w:rsid w:val="008E0914"/>
    <w:rsid w:val="008E2436"/>
    <w:rsid w:val="00905926"/>
    <w:rsid w:val="009147C2"/>
    <w:rsid w:val="00931961"/>
    <w:rsid w:val="00932368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60AD9"/>
    <w:rsid w:val="00A8540B"/>
    <w:rsid w:val="00A8689B"/>
    <w:rsid w:val="00A9295A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BE7163"/>
    <w:rsid w:val="00C01445"/>
    <w:rsid w:val="00C05B6F"/>
    <w:rsid w:val="00C16951"/>
    <w:rsid w:val="00C175E2"/>
    <w:rsid w:val="00C47EC5"/>
    <w:rsid w:val="00C51DC7"/>
    <w:rsid w:val="00C57FB5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D234D9"/>
    <w:rsid w:val="00D23EEB"/>
    <w:rsid w:val="00D308B5"/>
    <w:rsid w:val="00D41290"/>
    <w:rsid w:val="00D56160"/>
    <w:rsid w:val="00D60F30"/>
    <w:rsid w:val="00D6107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3162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D79D7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780E-F2E0-4669-A0E0-C9DC89A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2021-11-03T10:09:00Z</dcterms:created>
  <dcterms:modified xsi:type="dcterms:W3CDTF">2021-11-03T10:10:00Z</dcterms:modified>
</cp:coreProperties>
</file>